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49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77"/>
      </w:tblGrid>
      <w:tr>
        <w:tc>
          <w:tcPr>
            <w:tcW w:w="4977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br w:type="page" w:clear="all"/>
            </w:r>
            <w:r>
              <w:rPr>
                <w:rFonts w:ascii="Times New Roman" w:hAnsi="Times New Roman"/>
                <w:sz w:val="26"/>
                <w:szCs w:val="26"/>
              </w:rPr>
              <w:br w:type="page" w:clear="all"/>
            </w:r>
          </w:p>
        </w:tc>
      </w:tr>
    </w:tbl>
    <w:p>
      <w:pPr>
        <w:pStyle w:val="a3"/>
        <w:ind w:firstLine="709"/>
        <w:jc w:val="right"/>
        <w:rPr>
          <w:rFonts w:ascii="Times New Roman" w:hAnsi="Times New Roman"/>
          <w:sz w:val="26"/>
          <w:szCs w:val="26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Сводный</w:t>
      </w:r>
      <w:r>
        <w:rPr>
          <w:rFonts w:ascii="Times New Roman" w:hAnsi="Times New Roman"/>
          <w:sz w:val="26"/>
          <w:szCs w:val="26"/>
        </w:rPr>
        <w:t xml:space="preserve"> отчет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 </w:t>
      </w:r>
    </w:p>
    <w:tbl>
      <w:tblPr>
        <w:tblW w:w="98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30"/>
        <w:gridCol w:w="6"/>
        <w:gridCol w:w="10"/>
        <w:gridCol w:w="1717"/>
        <w:gridCol w:w="546"/>
        <w:gridCol w:w="158"/>
        <w:gridCol w:w="53"/>
        <w:gridCol w:w="69"/>
        <w:gridCol w:w="22"/>
        <w:gridCol w:w="374"/>
        <w:gridCol w:w="1179"/>
        <w:gridCol w:w="105"/>
        <w:gridCol w:w="18"/>
        <w:gridCol w:w="20"/>
        <w:gridCol w:w="190"/>
        <w:gridCol w:w="98"/>
        <w:gridCol w:w="938"/>
        <w:gridCol w:w="30"/>
        <w:gridCol w:w="247"/>
        <w:gridCol w:w="175"/>
        <w:gridCol w:w="94"/>
        <w:gridCol w:w="51"/>
        <w:gridCol w:w="166"/>
        <w:gridCol w:w="552"/>
        <w:gridCol w:w="1007"/>
        <w:gridCol w:w="1280"/>
      </w:tblGrid>
      <w:tr>
        <w:trPr>
          <w:trHeight w:val="332"/>
        </w:trPr>
        <w:tc>
          <w:tcPr>
            <w:tcW w:w="658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none"/>
              <w:left w:val="none"/>
              <w:bottom w:val="single" w:color="000000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Министерство транспорта и дорожного хозяйства Республики Хакасия</w:t>
            </w:r>
          </w:p>
        </w:tc>
      </w:tr>
      <w:tr>
        <w:trPr>
          <w:trHeight w:val="496"/>
        </w:trPr>
        <w:tc>
          <w:tcPr>
            <w:tcW w:w="658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(наименование 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регулирующего органа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)</w:t>
            </w:r>
          </w:p>
        </w:tc>
      </w:tr>
      <w:tr>
        <w:trPr>
          <w:trHeight w:val="362"/>
        </w:trPr>
        <w:tc>
          <w:tcPr>
            <w:tcW w:w="658" w:type="dxa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информация</w:t>
            </w:r>
          </w:p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370"/>
        </w:trPr>
        <w:tc>
          <w:tcPr>
            <w:tcW w:w="65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и наименование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акта: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Правительства Республики Хакасия от 30.09.2021 № 490 «Об утверждении положений о региональном государственном контроле (надзоре) в сфере перевозок пассажиров и багажа легковым такси на территории Республики Хакасия и 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Республики Хакасия и о признании утратившими силу некоторых постановлений Правительства Республики Хакасия»</w:t>
            </w:r>
          </w:p>
        </w:tc>
      </w:tr>
      <w:tr>
        <w:trPr>
          <w:trHeight w:val="701"/>
        </w:trPr>
        <w:tc>
          <w:tcPr>
            <w:tcW w:w="658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</w:t>
            </w:r>
          </w:p>
        </w:tc>
        <w:tc>
          <w:tcPr>
            <w:tcW w:w="5663" w:type="dxa"/>
            <w:gridSpan w:val="18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регистрационной карточки проекта документа (РКПД), автоматически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системе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автоматизации делопроизводства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документооборота «Дело» (при наличии):</w:t>
            </w:r>
          </w:p>
        </w:tc>
        <w:tc>
          <w:tcPr>
            <w:tcW w:w="3572" w:type="dxa"/>
            <w:gridSpan w:val="8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РКПД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109</w:t>
            </w:r>
          </w:p>
        </w:tc>
      </w:tr>
      <w:tr>
        <w:trPr>
          <w:trHeight w:val="1904"/>
        </w:trPr>
        <w:tc>
          <w:tcPr>
            <w:tcW w:w="658" w:type="dxa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согласования без замечаний проекта нормативного правового 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в соответствии с пунктом 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иной экономической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утвержденного постановлением Правительства Республики Хакасия от 02.12.2013 № 671:  </w:t>
            </w:r>
          </w:p>
        </w:tc>
        <w:tc>
          <w:tcPr>
            <w:tcW w:w="3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28.03.2025</w:t>
            </w:r>
          </w:p>
        </w:tc>
      </w:tr>
      <w:tr>
        <w:trPr>
          <w:trHeight w:val="617"/>
        </w:trPr>
        <w:tc>
          <w:tcPr>
            <w:tcW w:w="658" w:type="dxa"/>
            <w:vMerge w:val="continue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18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проведении публичных консультаций по уведомлению о разработке проекта нормативного 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</w:p>
        </w:tc>
        <w:tc>
          <w:tcPr>
            <w:tcW w:w="3572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проводились 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проводились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(нужное подчеркнуть)</w:t>
            </w:r>
          </w:p>
        </w:tc>
      </w:tr>
      <w:tr>
        <w:tc>
          <w:tcPr>
            <w:tcW w:w="658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</w:t>
            </w:r>
          </w:p>
        </w:tc>
        <w:tc>
          <w:tcPr>
            <w:tcW w:w="9235" w:type="dxa"/>
            <w:gridSpan w:val="26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размещении уведомления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проведении публичных консультаций по проекту нормативного акта и сводному отчету, в том числе повторно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сроках предоставления предложений в связи с таким размещением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иных формах общественных обсуждений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размещено: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публичных консультаций: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окончание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публичных консультаций: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658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</w:t>
            </w:r>
          </w:p>
        </w:tc>
        <w:tc>
          <w:tcPr>
            <w:tcW w:w="9235" w:type="dxa"/>
            <w:gridSpan w:val="26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лицах, извещённых о проведении публичных консультаций (с указанием способа и даты направления Извещения, при электронной форме направления Извещения также указываются электронные адреса, на которые оно направлено):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Уполномоченному по защите прав предпринимателей Республики Хакасия Кудашкину В.В. – отправлено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01.04.2025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электронную почту </w:t>
            </w:r>
            <w:hyperlink r:id="rId10" w:history="1">
              <w:r>
                <w:rPr>
                  <w:rStyle w:val="af1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khakasia@ombudsmanbiz.ru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Министерство экономического развития Республики Хакасия Ковтуну Р.В. – отправлено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01.04.2025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электронную почту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mineconom@r-19.ru</w:t>
            </w:r>
            <w:r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Руководителю регионального отделения Российского союза промышленников и предпринимателей в Республике Хакасия Манжуле А.В. – отправлено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01.04.2025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электронную почту </w:t>
            </w:r>
            <w:hyperlink r:id="rId11" w:history="1">
              <w:r>
                <w:rPr>
                  <w:rStyle w:val="af1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pmkmangula@yandex.ru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Председателю совета Хакасского регионального отделения общероссийской общественной организации малого и среднего предпринимательства «Опора России» в Республике Хакасия Шевченко М.В. – отправлено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01.04.2025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электронную почту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pressa@opora.ru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</w:p>
        </w:tc>
      </w:tr>
      <w:tr>
        <w:tc>
          <w:tcPr>
            <w:tcW w:w="658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</w:t>
            </w:r>
          </w:p>
        </w:tc>
        <w:tc>
          <w:tcPr>
            <w:tcW w:w="9235" w:type="dxa"/>
            <w:gridSpan w:val="26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лицах, представивших предложения: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предложения в регулирующий орган не поступали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.</w:t>
            </w:r>
          </w:p>
        </w:tc>
      </w:tr>
      <w:tr>
        <w:tc>
          <w:tcPr>
            <w:tcW w:w="65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1.6.</w:t>
            </w:r>
          </w:p>
        </w:tc>
        <w:tc>
          <w:tcPr>
            <w:tcW w:w="9235" w:type="dxa"/>
            <w:gridSpan w:val="26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Стрелочных Анастасия Владимировна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Должность: начальник отдела государственного контроля (надзора)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(3902) 22-62-82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Степень регулирующего воздействия проекта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акта</w:t>
            </w:r>
          </w:p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</w:t>
            </w:r>
          </w:p>
        </w:tc>
        <w:tc>
          <w:tcPr>
            <w:tcW w:w="6179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регулирующего воздействия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акта:</w:t>
            </w: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средняя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/низкая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(нужное подчеркнуть)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отнесения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акта к определенной степени регулирующего воздействия:</w:t>
            </w:r>
          </w:p>
          <w:p>
            <w:pPr>
              <w:tabs>
                <w:tab w:val="center" w:pos="4506"/>
                <w:tab w:val="left" w:pos="69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нормативного акта содержит положения,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изменяющие ранее предусмотренные нормативными правовыми актами Республики Хакасия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обязательные требования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1.3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утвержденного постановлением Правительства Республики Хакасия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02.12.2013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671, относится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регулирующего воздействия.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условий и факторов её существования,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оценка негативных эффектов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возникающих в связи с наличием рассматриваемой проблемы</w:t>
            </w:r>
          </w:p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5255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условий и факторов её существования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Оценка негативных эффектов, возникающих в связи с наличием рассматриваемой проблемы: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5255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(Проблема 1)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Действующая редакция проекта постановления не соответствует требованиям установленным Федеральным законом № 248-ФЗ</w:t>
            </w:r>
          </w:p>
        </w:tc>
        <w:tc>
          <w:tcPr>
            <w:tcW w:w="46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(Оценка проблемы 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Наличие нормативных коллизий, негативно влияющих на регулируемые правоотношения, влекущие невозможность осуществления КНМ</w:t>
            </w:r>
          </w:p>
        </w:tc>
      </w:tr>
      <w:tr>
        <w:tc>
          <w:tcPr>
            <w:tcW w:w="5255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(Проблема №)</w:t>
            </w:r>
          </w:p>
        </w:tc>
        <w:tc>
          <w:tcPr>
            <w:tcW w:w="46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(Оценка проблемы №)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использованных данных: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Консультант плюс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Анализ опыта субъектов Российской Федерации в соответствующих сферах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**</w:t>
            </w:r>
          </w:p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опыта субъектов Российской Федерации в соответствующих сферах деятельности: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Кемеровской области-Кузбасса от 30.09.2021 № 589,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Ленинградской области от 15.12.2021 № 812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использованных данных: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Консультант плюс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Цели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ключевые показатели достижения целей предлагаемого регулирования, сроки их достижения </w:t>
            </w:r>
          </w:p>
          <w:p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402"/>
        </w:trPr>
        <w:tc>
          <w:tcPr>
            <w:tcW w:w="336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 Цели предлагаемого регулирования</w:t>
            </w:r>
          </w:p>
        </w:tc>
        <w:tc>
          <w:tcPr>
            <w:tcW w:w="19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 Ключевые показатели (цифровое выражение целей правового регулирования)*</w:t>
            </w:r>
          </w:p>
        </w:tc>
        <w:tc>
          <w:tcPr>
            <w:tcW w:w="170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роки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ключевых показателей*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5.4 Значения ключевых показателей*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263"/>
        </w:trPr>
        <w:tc>
          <w:tcPr>
            <w:tcW w:w="3369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Актуальное значение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Прогнози-руемое значение</w:t>
            </w:r>
          </w:p>
        </w:tc>
      </w:tr>
      <w:tr>
        <w:tc>
          <w:tcPr>
            <w:tcW w:w="3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54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(Цель 1)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Проектом постановления актуализировано право контролируемого лица на досудебное обжалование решений о проведении обязательных профилактических визитов, актов обязательных профилактических визитов, действий (бездействия) должностных лиц в рамках обязательных профилактических визитов, решений  об отнесении объектов контроля к категории риска, решений об отказе в проведении обязательных профилактических визитов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по заявлениям контролируемых лиц, а также иных решений, принимаемых Министерством по итогам профилактических и (или) контрольных (надзорных) мероприятий. Скорректирован порядок досудебного обжалования решений и действий Министерства. Регламентирован порядок проведения обязательного профилактического визита и профилактического визита по инициативе контролируемого лица. Введена новая норма, согласно которой контролируемое лицо, в отношении которого выявлены нарушения обязательных требований, вправе подать ходатайство о заключении с Министерством соглашения о надлежащем устранении выявленных нарушений обязательных требований.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3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</w:p>
        </w:tc>
        <w:tc>
          <w:tcPr>
            <w:tcW w:w="1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программным документам, федеральному законодательству и законодательству Республики Хакасия: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исполнения норм Федерального закона № 248-ФЗ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5.6.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использованных данных: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Консультант плюс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иных возможных способов решения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проблемы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обоснование выбора предлагаемого способа решения проблемы</w:t>
            </w:r>
          </w:p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предлагаемого способа решения проблемы и преодоления связанных с ней негативных эффектов: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Настоящий проект постановления приведет законодательство Республики Хакасия в соответствие с федеральным законодательством.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6.2.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проблема, в том числе без введения нового регулирования)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возможные способы решения поставленной проблемы в процессе публичных консультаций не выявлены.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Иные возможные способы решения поставленной проблемы не выявлены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.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6.3.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выбора предлагаемого способа решения проблемы: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В связи с тем, что иных возможных способов решения проблемы не выявлено,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возможен только указанный вариант регулирования.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6.4.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использованных данных: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справочно-правовая система «Консультант Плюс»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50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Группа участников правоотношений</w:t>
            </w:r>
          </w:p>
        </w:tc>
        <w:tc>
          <w:tcPr>
            <w:tcW w:w="48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Оценка количества участников правоотношений</w:t>
            </w:r>
          </w:p>
        </w:tc>
      </w:tr>
      <w:tr>
        <w:tc>
          <w:tcPr>
            <w:tcW w:w="50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(Описание группы участников правоотношений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индивидуальные предприниматели, физические лица, СЗЛТ</w:t>
            </w:r>
          </w:p>
        </w:tc>
        <w:tc>
          <w:tcPr>
            <w:tcW w:w="48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(Оценка количества участников группы 1)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566</w:t>
            </w:r>
          </w:p>
        </w:tc>
      </w:tr>
      <w:tr>
        <w:tc>
          <w:tcPr>
            <w:tcW w:w="50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(Описание иной группы участников правоотношений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транспорта и дорожного хозяйства РХ</w:t>
            </w:r>
          </w:p>
        </w:tc>
        <w:tc>
          <w:tcPr>
            <w:tcW w:w="48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(Оценка количества участников группы №)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использованных данных: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организации их исполнения**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997"/>
        </w:trPr>
        <w:tc>
          <w:tcPr>
            <w:tcW w:w="50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4"/>
              <w:numPr>
                <w:numId w:val="1"/>
                <w:ilvl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</w:p>
          <w:p>
            <w:pPr>
              <w:pStyle w:val="a4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Порядок реализации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989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органа: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транспорта и дорожного хозяйства Республики Хакасия</w:t>
            </w:r>
          </w:p>
        </w:tc>
      </w:tr>
      <w:tr>
        <w:tc>
          <w:tcPr>
            <w:tcW w:w="50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Предоставлено право на досудебное обжалование решений о проведении профвизитов, актов, действий должностных лиц, скорректирован порядок досудебного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обжалования и действий КНО</w:t>
            </w:r>
          </w:p>
        </w:tc>
        <w:tc>
          <w:tcPr>
            <w:tcW w:w="48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Соответствует п. 5.1 сводного отчета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50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658" w:type="dxa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Оценка соответствующих расходов (возможных поступлений) республиканского бюджета Республики Хакасия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**</w:t>
            </w:r>
          </w:p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33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новой или изменяемой функции, полномочия, обязанности или 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8.1 сводного отчета)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скорректирован порядок досудебного обжалования и действий КНО</w:t>
            </w:r>
          </w:p>
        </w:tc>
        <w:tc>
          <w:tcPr>
            <w:tcW w:w="35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Описание видов расходов (возможных поступлений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бюджета Республики Хакасия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отсутствуют</w:t>
            </w:r>
          </w:p>
        </w:tc>
        <w:tc>
          <w:tcPr>
            <w:tcW w:w="3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Количественная оценка расходов (возможных поступлений)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не требуются</w:t>
            </w:r>
          </w:p>
        </w:tc>
      </w:tr>
      <w:tr>
        <w:tc>
          <w:tcPr>
            <w:tcW w:w="989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органа: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транспорта и дорожного хозяйства Республики Хакасия</w:t>
            </w:r>
          </w:p>
        </w:tc>
      </w:tr>
      <w:tr>
        <w:tc>
          <w:tcPr>
            <w:tcW w:w="334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проекта постановления Правительства Республики не требует дополнительного финансирования из республиканского бюджета Республики Хакасия.</w:t>
            </w:r>
          </w:p>
        </w:tc>
        <w:tc>
          <w:tcPr>
            <w:tcW w:w="35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Единовременные расходы в год возникновения:</w:t>
            </w:r>
          </w:p>
        </w:tc>
        <w:tc>
          <w:tcPr>
            <w:tcW w:w="3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334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Периодические расходы за период 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</w:t>
            </w:r>
          </w:p>
        </w:tc>
        <w:tc>
          <w:tcPr>
            <w:tcW w:w="3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334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Возможные поступления за период 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</w:t>
            </w:r>
          </w:p>
        </w:tc>
        <w:tc>
          <w:tcPr>
            <w:tcW w:w="3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.4.</w:t>
            </w:r>
          </w:p>
        </w:tc>
        <w:tc>
          <w:tcPr>
            <w:tcW w:w="623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единовременные расходы в год возникновения:</w:t>
            </w:r>
          </w:p>
        </w:tc>
        <w:tc>
          <w:tcPr>
            <w:tcW w:w="3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9.5.</w:t>
            </w:r>
          </w:p>
        </w:tc>
        <w:tc>
          <w:tcPr>
            <w:tcW w:w="623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периодические расходы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(без учета года возникновения)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</w:p>
        </w:tc>
        <w:tc>
          <w:tcPr>
            <w:tcW w:w="3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9.6.</w:t>
            </w:r>
          </w:p>
        </w:tc>
        <w:tc>
          <w:tcPr>
            <w:tcW w:w="623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возможные поступления за год:</w:t>
            </w:r>
          </w:p>
        </w:tc>
        <w:tc>
          <w:tcPr>
            <w:tcW w:w="3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9.7.</w:t>
            </w: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использованных данных: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658" w:type="dxa"/>
            <w:tcBorders>
              <w:top w:val="single" w:color="auto" w:sz="4" w:space="0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color="auto" w:sz="4" w:space="0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Новые обязательные требования, обязанности для субъектов предпринимательской и иной экономической деятельности, новая ответственность за нарушение нормативных правовых актов Республики Хакасия, новые обязанности, запреты и ограничения для субъектов предпринимательской и иной экономической деятельности, а также порядок организации их исполнения**</w:t>
            </w:r>
          </w:p>
          <w:p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c>
          <w:tcPr>
            <w:tcW w:w="50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Описание новых преимуществ, обязательных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обязанностей,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ответственности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изменения содержания существующих обязате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льных требований, обязанностей,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ответственности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10.2. Порядок реализации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989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субъектов предпринимательской и иной экономической деятельности (указываются соответствующие данные из пункта 7.1 сводного отчета)</w:t>
            </w:r>
          </w:p>
        </w:tc>
      </w:tr>
      <w:tr>
        <w:trPr>
          <w:trHeight w:val="269"/>
        </w:trPr>
        <w:tc>
          <w:tcPr>
            <w:tcW w:w="504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предприниматели, физические лица, СЗЛТ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транспорта и дорожного хозяйства РХ</w:t>
            </w:r>
          </w:p>
        </w:tc>
        <w:tc>
          <w:tcPr>
            <w:tcW w:w="484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актуализировано право контролируемого лица на досудебное обжалование решений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о проведении обязательных профилактических визитов, актов обязательных профилактических визитов, действий (бездействия) должностных лиц в рамках обязательных профилактических визитов, решений  об отнесении объектов контроля к категории риска, решений об отказе в проведении обязательных профилактических визитов по заявлениям контролируемых лиц, а также иных решений, принимаемых Министерством по итогам профилактических и (или) контрольных (надзорных) мероприятий. Скорректирован порядок досудебного обжалования решений и действий Министерства. Регламентирован порядок проведения обязательного профилактического визита и профилактического визита по инициативе контролируемого лица. Введена новая норма, согласно которой контролируемое лицо, в отношении которого выявлены нарушения обязательных требований, вправе подать ходатайство о заключении с Министерством соглашения о надлежащем устранении выявленных нарушений обязательных требований.</w:t>
            </w:r>
          </w:p>
        </w:tc>
      </w:tr>
      <w:tr>
        <w:tc>
          <w:tcPr>
            <w:tcW w:w="658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обязанностей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а также связанных с введением новой ответственности**</w:t>
            </w:r>
          </w:p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33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субъектов предпринимательской и иной экономической деятельности (указываются соответствующие данные из пункта 7.1 сводного отчета)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Описание новых преимуществ, обязательных требований обязанностей, ограничений или изменения содержания существующих обязательных требований, обязанностей и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10.1 сводного отчета)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Описание и оценка видов расходов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доходов (экономии), возникающих, в том числе в связи с отсутствием необходимости соблюдать требования, обязанности, запреты </w:t>
            </w:r>
          </w:p>
        </w:tc>
      </w:tr>
      <w:tr>
        <w:tc>
          <w:tcPr>
            <w:tcW w:w="334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(Группа участников отношений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предприниматели,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физические лица, СЗЛТ</w:t>
            </w:r>
          </w:p>
        </w:tc>
        <w:tc>
          <w:tcPr>
            <w:tcW w:w="3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1)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проект постановления приведет законодательство Республики Хакасия в соответствие с федеральным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законодательством.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отсутствуют</w:t>
            </w:r>
          </w:p>
        </w:tc>
      </w:tr>
      <w:tr>
        <w:tc>
          <w:tcPr>
            <w:tcW w:w="334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.K)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8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11.4.</w:t>
            </w:r>
          </w:p>
        </w:tc>
        <w:tc>
          <w:tcPr>
            <w:tcW w:w="593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единовременные расходы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год возникновения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масштабе, установленном пунктом 7.2 сводного отчета)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8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11.5.</w:t>
            </w:r>
          </w:p>
        </w:tc>
        <w:tc>
          <w:tcPr>
            <w:tcW w:w="593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периодические расходы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масштабе, установленном пунктом 7.2 сводного отчета, без учета года возникновения)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</w:t>
            </w:r>
          </w:p>
        </w:tc>
        <w:tc>
          <w:tcPr>
            <w:tcW w:w="908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использованных данных: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804" w:type="dxa"/>
            <w:gridSpan w:val="4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3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      </w:r>
          </w:p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Риски решения проблемы предложенным способом и риски негативных последствий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вероятности наступления рисков*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12.3. 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(контроля рисков)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12.4. Степень контроля рисков*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(Риск 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отсутствуют</w:t>
            </w:r>
          </w:p>
        </w:tc>
        <w:tc>
          <w:tcPr>
            <w:tcW w:w="25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(Риск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</w:p>
        </w:tc>
        <w:tc>
          <w:tcPr>
            <w:tcW w:w="25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12.5.</w:t>
            </w:r>
          </w:p>
        </w:tc>
        <w:tc>
          <w:tcPr>
            <w:tcW w:w="90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использованных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794" w:type="dxa"/>
            <w:gridSpan w:val="3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3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необходимые для достижения целей регулирования</w:t>
            </w:r>
          </w:p>
        </w:tc>
        <w:tc>
          <w:tcPr>
            <w:tcW w:w="32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Сроки мероприятий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Описание ожидаемого результата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3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(Мероприятие 1)</w:t>
            </w:r>
          </w:p>
        </w:tc>
        <w:tc>
          <w:tcPr>
            <w:tcW w:w="32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3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</w:p>
        </w:tc>
        <w:tc>
          <w:tcPr>
            <w:tcW w:w="32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gridSpan w:val="3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Индикативные показатели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программы мониторинга и иные способы (методы) оценки достижения заявленных целей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</w:t>
            </w:r>
          </w:p>
          <w:p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951"/>
        </w:trPr>
        <w:tc>
          <w:tcPr>
            <w:tcW w:w="32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Цели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5.1 сводного отчета)</w:t>
            </w:r>
          </w:p>
        </w:tc>
        <w:tc>
          <w:tcPr>
            <w:tcW w:w="6668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Индикативные показатели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(отражение степени (этапов) достижения целей правового регулирования) и единицы их измерения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322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(Цель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</w:p>
        </w:tc>
        <w:tc>
          <w:tcPr>
            <w:tcW w:w="666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.1)</w:t>
            </w:r>
          </w:p>
        </w:tc>
      </w:tr>
      <w:tr>
        <w:trPr>
          <w:trHeight w:val="295"/>
        </w:trPr>
        <w:tc>
          <w:tcPr>
            <w:tcW w:w="3225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</w:p>
        </w:tc>
      </w:tr>
      <w:tr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</w:p>
        </w:tc>
        <w:tc>
          <w:tcPr>
            <w:tcW w:w="90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программах мониторинга и иных способах (методах) оценки достижения заявленных целей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</w:p>
        </w:tc>
        <w:tc>
          <w:tcPr>
            <w:tcW w:w="90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использованных данных: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794" w:type="dxa"/>
            <w:gridSpan w:val="3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Предполагаемая дата вступления в силу проекта нормативного акта, необходимость установления переходных положений (переходного периода), а также эксперимента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**</w:t>
            </w:r>
          </w:p>
          <w:p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15.1.</w:t>
            </w:r>
          </w:p>
        </w:tc>
        <w:tc>
          <w:tcPr>
            <w:tcW w:w="90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Предполагаемая дата вступления в силу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официального опубликования</w:t>
            </w:r>
            <w:bookmarkStart w:id="0" w:name="_GoBack"/>
            <w:bookmarkEnd w:id="0"/>
          </w:p>
        </w:tc>
      </w:tr>
      <w:tr>
        <w:tc>
          <w:tcPr>
            <w:tcW w:w="49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переходных положений (переходного периода):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присутствует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)</w:t>
            </w:r>
          </w:p>
        </w:tc>
        <w:tc>
          <w:tcPr>
            <w:tcW w:w="49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15.3. Сведения о переходных положениях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необходимости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</w:p>
        </w:tc>
        <w:tc>
          <w:tcPr>
            <w:tcW w:w="90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эксперимента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</w:p>
        </w:tc>
        <w:tc>
          <w:tcPr>
            <w:tcW w:w="90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предполагаемом эксперименте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794" w:type="dxa"/>
            <w:gridSpan w:val="3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numPr>
                <w:numId w:val="1"/>
                <w:ilvl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Иные сведения</w:t>
            </w:r>
          </w:p>
          <w:p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16.1.</w:t>
            </w:r>
          </w:p>
        </w:tc>
        <w:tc>
          <w:tcPr>
            <w:tcW w:w="910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сведения, которые, по мнению регулирующего органа, позволяют оценить обоснованность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16.2.</w:t>
            </w:r>
          </w:p>
        </w:tc>
        <w:tc>
          <w:tcPr>
            <w:tcW w:w="910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Наименование инициатора проекта закона (при наличии):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16.3.</w:t>
            </w:r>
          </w:p>
        </w:tc>
        <w:tc>
          <w:tcPr>
            <w:tcW w:w="910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приложениях к сводному отчету (при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(место для текстового описания)</w:t>
            </w:r>
          </w:p>
        </w:tc>
      </w:tr>
      <w:tr>
        <w:tc>
          <w:tcPr>
            <w:tcW w:w="3067" w:type="dxa"/>
            <w:gridSpan w:val="6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инистр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транспорта и дорожного хозяйства Республики Хакасия</w:t>
            </w:r>
          </w:p>
        </w:tc>
        <w:tc>
          <w:tcPr>
            <w:tcW w:w="676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7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Евтушенко М.В.</w:t>
            </w:r>
          </w:p>
        </w:tc>
      </w:tr>
      <w:tr>
        <w:tc>
          <w:tcPr>
            <w:tcW w:w="3067" w:type="dxa"/>
            <w:gridSpan w:val="6"/>
            <w:tcBorders>
              <w:top w:val="single" w:color="auto" w:sz="4" w:space="0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(наименование должности)</w:t>
            </w:r>
          </w:p>
        </w:tc>
        <w:tc>
          <w:tcPr>
            <w:tcW w:w="676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(подпись)</w:t>
            </w:r>
          </w:p>
        </w:tc>
        <w:tc>
          <w:tcPr>
            <w:tcW w:w="597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(фамилия, инициалы лица)</w:t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&lt;</w:t>
      </w:r>
      <w:r>
        <w:rPr>
          <w:rFonts w:ascii="Times New Roman" w:hAnsi="Times New Roman"/>
          <w:sz w:val="26"/>
          <w:szCs w:val="26"/>
        </w:rPr>
        <w:t xml:space="preserve">*</w:t>
      </w:r>
      <w:r>
        <w:rPr>
          <w:rFonts w:ascii="Times New Roman" w:hAnsi="Times New Roman"/>
          <w:sz w:val="26"/>
          <w:szCs w:val="26"/>
        </w:rPr>
        <w:t xml:space="preserve">&gt;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не подлежит заполнению</w:t>
      </w:r>
      <w:r>
        <w:rPr>
          <w:rFonts w:ascii="Times New Roman" w:hAnsi="Times New Roman"/>
          <w:sz w:val="26"/>
          <w:szCs w:val="26"/>
        </w:rPr>
        <w:t xml:space="preserve"> для проектов нормативных правовых актов Республики Хакасия, имеющих </w:t>
      </w:r>
      <w:r>
        <w:rPr>
          <w:rFonts w:ascii="Times New Roman" w:hAnsi="Times New Roman"/>
          <w:sz w:val="26"/>
          <w:szCs w:val="26"/>
        </w:rPr>
        <w:t xml:space="preserve">среднюю и низкую</w:t>
      </w:r>
      <w:r>
        <w:rPr>
          <w:rFonts w:ascii="Times New Roman" w:hAnsi="Times New Roman"/>
          <w:sz w:val="26"/>
          <w:szCs w:val="26"/>
        </w:rPr>
        <w:t xml:space="preserve"> степень регулирующего воздействия.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&lt;</w:t>
      </w:r>
      <w:r>
        <w:rPr>
          <w:rFonts w:ascii="Times New Roman" w:hAnsi="Times New Roman"/>
          <w:sz w:val="26"/>
          <w:szCs w:val="26"/>
        </w:rPr>
        <w:t xml:space="preserve">**</w:t>
      </w:r>
      <w:r>
        <w:rPr>
          <w:rFonts w:ascii="Times New Roman" w:hAnsi="Times New Roman"/>
          <w:sz w:val="26"/>
          <w:szCs w:val="26"/>
        </w:rPr>
        <w:t xml:space="preserve">&gt;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не подлежит заполнению для проектов нормативных правовых актов Республики Хакасия, имеющих низкую степень регулирующего воздействия.</w:t>
      </w:r>
    </w:p>
    <w:sectPr>
      <w:headerReference w:type="default" r:id="rId9"/>
      <w:pgSz w:w="12240" w:h="15840"/>
      <w:pgMar w:top="1134" w:right="850" w:bottom="1134" w:left="1701" w:header="720" w:footer="720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a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10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 w:tplc="8480B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entative="1" w:tplc="04190019">
      <w:start w:val="1"/>
      <w:numFmt w:val="lowerLetter"/>
      <w:lvlText w:val="%2."/>
      <w:lvlJc w:val="left"/>
      <w:pPr>
        <w:ind w:left="2160" w:hanging="360"/>
      </w:pPr>
    </w:lvl>
    <w:lvl w:ilvl="2" w:tentative="1" w:tplc="0419001B">
      <w:start w:val="1"/>
      <w:numFmt w:val="lowerRoman"/>
      <w:lvlText w:val="%3."/>
      <w:lvlJc w:val="right"/>
      <w:pPr>
        <w:ind w:left="2880" w:hanging="180"/>
      </w:pPr>
    </w:lvl>
    <w:lvl w:ilvl="3" w:tentative="1" w:tplc="0419000F">
      <w:start w:val="1"/>
      <w:numFmt w:val="decimal"/>
      <w:lvlText w:val="%4."/>
      <w:lvlJc w:val="left"/>
      <w:pPr>
        <w:ind w:left="3600" w:hanging="360"/>
      </w:pPr>
    </w:lvl>
    <w:lvl w:ilvl="4" w:tentative="1" w:tplc="04190019">
      <w:start w:val="1"/>
      <w:numFmt w:val="lowerLetter"/>
      <w:lvlText w:val="%5."/>
      <w:lvlJc w:val="left"/>
      <w:pPr>
        <w:ind w:left="4320" w:hanging="360"/>
      </w:pPr>
    </w:lvl>
    <w:lvl w:ilvl="5" w:tentative="1" w:tplc="0419001B">
      <w:start w:val="1"/>
      <w:numFmt w:val="lowerRoman"/>
      <w:lvlText w:val="%6."/>
      <w:lvlJc w:val="right"/>
      <w:pPr>
        <w:ind w:left="5040" w:hanging="180"/>
      </w:pPr>
    </w:lvl>
    <w:lvl w:ilvl="6" w:tentative="1" w:tplc="0419000F">
      <w:start w:val="1"/>
      <w:numFmt w:val="decimal"/>
      <w:lvlText w:val="%7."/>
      <w:lvlJc w:val="left"/>
      <w:pPr>
        <w:ind w:left="5760" w:hanging="360"/>
      </w:pPr>
    </w:lvl>
    <w:lvl w:ilvl="7" w:tentative="1" w:tplc="04190019">
      <w:start w:val="1"/>
      <w:numFmt w:val="lowerLetter"/>
      <w:lvlText w:val="%8."/>
      <w:lvlJc w:val="left"/>
      <w:pPr>
        <w:ind w:left="6480" w:hanging="360"/>
      </w:pPr>
    </w:lvl>
    <w:lvl w:ilvl="8" w:tentative="1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 w:tplc="E878F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 w:tplc="0284C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 w:tplc="2320F05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 w:tplc="056A2F8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multiLevelType w:val="hybridMultilevel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 w:tplc="309C1B12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 w:tplc="2904F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multiLevelType w:val="hybridMultilevel"/>
    <w:lvl w:ilvl="0" w:tplc="73669D10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entative="1" w:tplc="0419001B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entative="1" w:tplc="0419000F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entative="1" w:tplc="04190019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entative="1" w:tplc="0419001B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entative="1" w:tplc="0419000F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entative="1" w:tplc="04190019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entative="1" w:tplc="0419001B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27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 w:tplc="AA006F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multiLevelType w:val="hybridMultilevel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multiLevelType w:val="hybridMultilevel"/>
    <w:lvl w:ilvl="0" w:tplc="4118C61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D4A0BDA2">
      <w:start w:val="1"/>
      <w:numFmt w:val="decimal"/>
      <w:lvlText w:val="%2)"/>
      <w:lvlJc w:val="left"/>
      <w:pPr>
        <w:ind w:left="2809" w:hanging="1020"/>
      </w:pPr>
      <w:rPr>
        <w:rFonts w:hint="default"/>
      </w:r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multiLevelType w:val="hybridMultilevel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multiLevelType w:val="hybridMultilevel"/>
    <w:lvl w:ilvl="0" w:tplc="8D4AB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12"/>
  </w:num>
  <w:num w:numId="5">
    <w:abstractNumId w:val="30"/>
  </w:num>
  <w:num w:numId="6">
    <w:abstractNumId w:val="6"/>
  </w:num>
  <w:num w:numId="7">
    <w:abstractNumId w:val="4"/>
  </w:num>
  <w:num w:numId="8">
    <w:abstractNumId w:val="15"/>
  </w:num>
  <w:num w:numId="9">
    <w:abstractNumId w:val="29"/>
  </w:num>
  <w:num w:numId="10">
    <w:abstractNumId w:val="9"/>
  </w:num>
  <w:num w:numId="11">
    <w:abstractNumId w:val="14"/>
  </w:num>
  <w:num w:numId="12">
    <w:abstractNumId w:val="10"/>
  </w:num>
  <w:num w:numId="13">
    <w:abstractNumId w:val="0"/>
  </w:num>
  <w:num w:numId="14">
    <w:abstractNumId w:val="5"/>
  </w:num>
  <w:num w:numId="15">
    <w:abstractNumId w:val="8"/>
  </w:num>
  <w:num w:numId="16">
    <w:abstractNumId w:val="27"/>
  </w:num>
  <w:num w:numId="17">
    <w:abstractNumId w:val="1"/>
  </w:num>
  <w:num w:numId="18">
    <w:abstractNumId w:val="25"/>
  </w:num>
  <w:num w:numId="19">
    <w:abstractNumId w:val="31"/>
  </w:num>
  <w:num w:numId="20">
    <w:abstractNumId w:val="17"/>
  </w:num>
  <w:num w:numId="21">
    <w:abstractNumId w:val="16"/>
  </w:num>
  <w:num w:numId="22">
    <w:abstractNumId w:val="28"/>
  </w:num>
  <w:num w:numId="23">
    <w:abstractNumId w:val="32"/>
  </w:num>
  <w:num w:numId="24">
    <w:abstractNumId w:val="34"/>
  </w:num>
  <w:num w:numId="25">
    <w:abstractNumId w:val="33"/>
  </w:num>
  <w:num w:numId="26">
    <w:abstractNumId w:val="3"/>
  </w:num>
  <w:num w:numId="27">
    <w:abstractNumId w:val="19"/>
  </w:num>
  <w:num w:numId="28">
    <w:abstractNumId w:val="7"/>
  </w:num>
  <w:num w:numId="29">
    <w:abstractNumId w:val="20"/>
  </w:num>
  <w:num w:numId="30">
    <w:abstractNumId w:val="22"/>
  </w:num>
  <w:num w:numId="31">
    <w:abstractNumId w:val="23"/>
  </w:num>
  <w:num w:numId="32">
    <w:abstractNumId w:val="11"/>
  </w:num>
  <w:num w:numId="33">
    <w:abstractNumId w:val="18"/>
  </w:num>
  <w:num w:numId="34">
    <w:abstractNumId w:val="2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10" w:customStyle="1">
    <w:name w:val="Заголовок 1 Знак"/>
    <w:basedOn w:val="a0"/>
    <w:link w:val="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1">
    <w:name w:val="Заголовок 2 Знак"/>
    <w:basedOn w:val="a0"/>
    <w:link w:val="2"/>
    <w:uiPriority w:val="9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30" w:customStyle="1">
    <w:name w:val="Заголовок 3 Знак"/>
    <w:basedOn w:val="a0"/>
    <w:link w:val="3"/>
    <w:uiPriority w:val="9"/>
    <w:rPr>
      <w:rFonts w:ascii="Cambria" w:hAnsi="Cambria" w:eastAsia="Times New Roman" w:cs="Times New Roman"/>
      <w:b/>
      <w:bCs/>
      <w:color w:val="4f81bd"/>
      <w:lang w:eastAsia="ru-RU"/>
    </w:rPr>
  </w:style>
  <w:style w:type="character" w:styleId="40" w:customStyle="1">
    <w:name w:val="Заголовок 4 Знак"/>
    <w:basedOn w:val="a0"/>
    <w:link w:val="4"/>
    <w:uiPriority w:val="9"/>
    <w:rPr>
      <w:rFonts w:ascii="Cambria" w:hAnsi="Cambria" w:eastAsia="Times New Roman" w:cs="Times New Roman"/>
      <w:b/>
      <w:bCs/>
      <w:i/>
      <w:iCs/>
      <w:color w:val="4f81bd"/>
      <w:lang w:eastAsia="ru-RU"/>
    </w:rPr>
  </w:style>
  <w:style w:type="character" w:styleId="50" w:customStyle="1">
    <w:name w:val="Заголовок 5 Знак"/>
    <w:basedOn w:val="a0"/>
    <w:link w:val="5"/>
    <w:uiPriority w:val="9"/>
    <w:rPr>
      <w:rFonts w:ascii="Cambria" w:hAnsi="Cambria" w:eastAsia="Times New Roman" w:cs="Times New Roman"/>
      <w:color w:val="243f60"/>
      <w:lang w:eastAsia="ru-RU"/>
    </w:rPr>
  </w:style>
  <w:style w:type="character" w:styleId="60" w:customStyle="1">
    <w:name w:val="Заголовок 6 Знак"/>
    <w:basedOn w:val="a0"/>
    <w:link w:val="6"/>
    <w:uiPriority w:val="9"/>
    <w:rPr>
      <w:rFonts w:ascii="Cambria" w:hAnsi="Cambria" w:eastAsia="Times New Roman" w:cs="Times New Roman"/>
      <w:i/>
      <w:iCs/>
      <w:color w:val="243f60"/>
      <w:lang w:eastAsia="ru-RU"/>
    </w:rPr>
  </w:style>
  <w:style w:type="character" w:styleId="70" w:customStyle="1">
    <w:name w:val="Заголовок 7 Знак"/>
    <w:basedOn w:val="a0"/>
    <w:link w:val="7"/>
    <w:uiPriority w:val="9"/>
    <w:rPr>
      <w:rFonts w:ascii="Cambria" w:hAnsi="Cambria" w:eastAsia="Times New Roman" w:cs="Times New Roman"/>
      <w:i/>
      <w:iCs/>
      <w:color w:val="404040"/>
      <w:lang w:eastAsia="ru-RU"/>
    </w:rPr>
  </w:style>
  <w:style w:type="character" w:styleId="80" w:customStyle="1">
    <w:name w:val="Заголовок 8 Знак"/>
    <w:basedOn w:val="a0"/>
    <w:link w:val="8"/>
    <w:uiPriority w:val="9"/>
    <w:rPr>
      <w:rFonts w:ascii="Cambria" w:hAnsi="Cambria" w:eastAsia="Times New Roman" w:cs="Times New Roman"/>
      <w:color w:val="40404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6">
    <w:name w:val="Subtitle"/>
    <w:basedOn w:val="a"/>
    <w:link w:val="a7"/>
    <w:qFormat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styleId="a7" w:customStyle="1">
    <w:name w:val="Подзаголовок Знак"/>
    <w:basedOn w:val="a0"/>
    <w:link w:val="a6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pPr>
      <w:spacing w:after="0" w:line="240" w:lineRule="auto"/>
      <w:ind w:right="-1"/>
      <w:jc w:val="both"/>
    </w:pPr>
    <w:rPr>
      <w:rFonts w:ascii="Times New Roman" w:hAnsi="Times New Roman"/>
      <w:sz w:val="28"/>
      <w:szCs w:val="20"/>
    </w:rPr>
  </w:style>
  <w:style w:type="character" w:styleId="22" w:customStyle="1">
    <w:name w:val="Основной текст 2 Знак"/>
    <w:basedOn w:val="a0"/>
    <w:link w:val="2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pPr>
      <w:spacing w:after="120"/>
    </w:pPr>
  </w:style>
  <w:style w:type="character" w:styleId="a9" w:customStyle="1">
    <w:name w:val="Основной текст Знак"/>
    <w:basedOn w:val="a0"/>
    <w:link w:val="a8"/>
    <w:uiPriority w:val="99"/>
    <w:semiHidden/>
    <w:rPr>
      <w:rFonts w:ascii="Calibri" w:hAnsi="Calibri" w:eastAsia="Times New Roman" w:cs="Times New Roman"/>
      <w:lang w:eastAsia="ru-RU"/>
    </w:rPr>
  </w:style>
  <w:style w:type="paragraph" w:styleId="ConsNormal" w:customStyle="1">
    <w:name w:val="ConsNormal"/>
    <w:pPr>
      <w:widowControl w:val="off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ConsPlusNonformat" w:customStyle="1">
    <w:name w:val="ConsPlusNonformat"/>
    <w:uiPriority w:val="99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Cell" w:customStyle="1">
    <w:name w:val="ConsPlusCel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  <w:rPr>
      <w:rFonts w:ascii="Calibri" w:hAnsi="Calibri" w:eastAsia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  <w:rPr>
      <w:rFonts w:ascii="Calibri" w:hAnsi="Calibri" w:eastAsia="Times New Roman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" w:customStyle="1">
    <w:name w:val="Текст выноски Знак"/>
    <w:basedOn w:val="a0"/>
    <w:link w:val="ae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Pr>
      <w:sz w:val="20"/>
      <w:szCs w:val="20"/>
    </w:rPr>
  </w:style>
  <w:style w:type="character" w:styleId="af4" w:customStyle="1">
    <w:name w:val="Текст примечания Знак"/>
    <w:basedOn w:val="a0"/>
    <w:link w:val="af3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styleId="af6" w:customStyle="1">
    <w:name w:val="Тема примечания Знак"/>
    <w:basedOn w:val="af4"/>
    <w:link w:val="af5"/>
    <w:uiPriority w:val="99"/>
    <w:semiHidden/>
    <w:rPr>
      <w:rFonts w:ascii="Calibri" w:hAnsi="Calibri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khakasia@ombudsmanbiz.ru" TargetMode="External"/><Relationship Id="rId11" Type="http://schemas.openxmlformats.org/officeDocument/2006/relationships/hyperlink" Target="mailto:pmkmangula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15240</Characters>
  <CharactersWithSpaces>17878</CharactersWithSpaces>
  <Company/>
  <DocSecurity>0</DocSecurity>
  <HyperlinksChanged>false</HyperlinksChanged>
  <Lines>127</Lines>
  <LinksUpToDate>false</LinksUpToDate>
  <Pages>10</Pages>
  <Paragraphs>35</Paragraphs>
  <ScaleCrop>false</ScaleCrop>
  <SharedDoc>false</SharedDoc>
  <Template>Normal</Template>
  <TotalTime>64</TotalTime>
  <Words>2673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dcterms:created xsi:type="dcterms:W3CDTF">2021-12-28T04:24:00Z</dcterms:created>
  <dcterms:modified xsi:type="dcterms:W3CDTF">2025-05-20T04:41:00Z</dcterms:modified>
</cp:coreProperties>
</file>